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6E" w:rsidRDefault="00C30F6E" w:rsidP="00C30F6E">
      <w:pPr>
        <w:widowControl w:val="0"/>
        <w:autoSpaceDE w:val="0"/>
        <w:autoSpaceDN w:val="0"/>
        <w:adjustRightInd w:val="0"/>
        <w:rPr>
          <w:rFonts w:ascii="Times" w:hAnsi="Times" w:cs="Times"/>
          <w:color w:val="572118"/>
          <w:sz w:val="40"/>
          <w:szCs w:val="40"/>
        </w:rPr>
      </w:pPr>
      <w:r>
        <w:rPr>
          <w:rFonts w:ascii="Times" w:hAnsi="Times" w:cs="Times"/>
          <w:sz w:val="40"/>
          <w:szCs w:val="40"/>
        </w:rPr>
        <w:t>Andrew D. Craven</w:t>
      </w:r>
    </w:p>
    <w:p w:rsidR="00C30F6E" w:rsidRDefault="00C30F6E" w:rsidP="00C30F6E">
      <w:pPr>
        <w:widowControl w:val="0"/>
        <w:autoSpaceDE w:val="0"/>
        <w:autoSpaceDN w:val="0"/>
        <w:adjustRightInd w:val="0"/>
        <w:rPr>
          <w:rFonts w:ascii="Times" w:hAnsi="Times" w:cs="Times"/>
          <w:color w:val="572118"/>
          <w:sz w:val="40"/>
          <w:szCs w:val="40"/>
        </w:rPr>
      </w:pPr>
      <w:r>
        <w:rPr>
          <w:rFonts w:ascii="Times" w:hAnsi="Times" w:cs="Times"/>
          <w:color w:val="572118"/>
          <w:sz w:val="40"/>
          <w:szCs w:val="40"/>
        </w:rPr>
        <w:t>Partner</w:t>
      </w:r>
    </w:p>
    <w:p w:rsidR="00C30F6E" w:rsidRDefault="00C30F6E" w:rsidP="00C30F6E">
      <w:pPr>
        <w:widowControl w:val="0"/>
        <w:autoSpaceDE w:val="0"/>
        <w:autoSpaceDN w:val="0"/>
        <w:adjustRightInd w:val="0"/>
        <w:rPr>
          <w:rFonts w:ascii="Times" w:hAnsi="Times" w:cs="Times"/>
          <w:sz w:val="34"/>
          <w:szCs w:val="34"/>
        </w:rPr>
      </w:pPr>
      <w:r>
        <w:rPr>
          <w:rFonts w:ascii="Times" w:hAnsi="Times" w:cs="Times"/>
          <w:noProof/>
          <w:sz w:val="34"/>
          <w:szCs w:val="34"/>
        </w:rPr>
        <w:drawing>
          <wp:inline distT="0" distB="0" distL="0" distR="0">
            <wp:extent cx="1917700" cy="2832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2832100"/>
                    </a:xfrm>
                    <a:prstGeom prst="rect">
                      <a:avLst/>
                    </a:prstGeom>
                    <a:noFill/>
                    <a:ln>
                      <a:noFill/>
                    </a:ln>
                  </pic:spPr>
                </pic:pic>
              </a:graphicData>
            </a:graphic>
          </wp:inline>
        </w:drawing>
      </w:r>
    </w:p>
    <w:p w:rsidR="00C30F6E" w:rsidRDefault="00C30F6E" w:rsidP="00C30F6E">
      <w:pPr>
        <w:widowControl w:val="0"/>
        <w:autoSpaceDE w:val="0"/>
        <w:autoSpaceDN w:val="0"/>
        <w:adjustRightInd w:val="0"/>
        <w:rPr>
          <w:rFonts w:ascii="Times" w:hAnsi="Times" w:cs="Times"/>
          <w:sz w:val="34"/>
          <w:szCs w:val="34"/>
        </w:rPr>
      </w:pPr>
      <w:hyperlink r:id="rId7" w:history="1">
        <w:r>
          <w:rPr>
            <w:rFonts w:ascii="Times" w:hAnsi="Times" w:cs="Times"/>
            <w:color w:val="572118"/>
            <w:sz w:val="34"/>
            <w:szCs w:val="34"/>
          </w:rPr>
          <w:t>acraven@fflegal.com</w:t>
        </w:r>
      </w:hyperlink>
    </w:p>
    <w:p w:rsidR="00C30F6E" w:rsidRDefault="00C30F6E" w:rsidP="00C30F6E">
      <w:pPr>
        <w:widowControl w:val="0"/>
        <w:autoSpaceDE w:val="0"/>
        <w:autoSpaceDN w:val="0"/>
        <w:adjustRightInd w:val="0"/>
        <w:rPr>
          <w:rFonts w:ascii="Times" w:hAnsi="Times" w:cs="Times"/>
          <w:sz w:val="34"/>
          <w:szCs w:val="34"/>
        </w:rPr>
      </w:pPr>
      <w:r>
        <w:rPr>
          <w:rFonts w:ascii="Times" w:hAnsi="Times" w:cs="Times"/>
          <w:sz w:val="34"/>
          <w:szCs w:val="34"/>
        </w:rPr>
        <w:t>Mr. Craven is a partner at Foreman Friedman primarily handling maritime matters, including the defense of crew and passenger claims, limitation of liability actions, cargo and salvage claims. Mr. Craven’s experience includes trials and appeals.</w:t>
      </w:r>
    </w:p>
    <w:p w:rsidR="00C30F6E" w:rsidRDefault="00C30F6E" w:rsidP="00C30F6E">
      <w:pPr>
        <w:widowControl w:val="0"/>
        <w:autoSpaceDE w:val="0"/>
        <w:autoSpaceDN w:val="0"/>
        <w:adjustRightInd w:val="0"/>
        <w:rPr>
          <w:rFonts w:ascii="Times" w:hAnsi="Times" w:cs="Times"/>
          <w:sz w:val="36"/>
          <w:szCs w:val="36"/>
        </w:rPr>
      </w:pPr>
      <w:r>
        <w:rPr>
          <w:rFonts w:ascii="Times" w:hAnsi="Times" w:cs="Times"/>
          <w:sz w:val="36"/>
          <w:szCs w:val="36"/>
        </w:rPr>
        <w:t>Admitted to Practice:</w:t>
      </w:r>
    </w:p>
    <w:p w:rsidR="00C30F6E" w:rsidRDefault="00C30F6E" w:rsidP="00C30F6E">
      <w:pPr>
        <w:widowControl w:val="0"/>
        <w:numPr>
          <w:ilvl w:val="0"/>
          <w:numId w:val="1"/>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Florida Bar</w:t>
      </w:r>
    </w:p>
    <w:p w:rsidR="00C30F6E" w:rsidRDefault="00C30F6E" w:rsidP="00C30F6E">
      <w:pPr>
        <w:widowControl w:val="0"/>
        <w:numPr>
          <w:ilvl w:val="0"/>
          <w:numId w:val="1"/>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U.S. Court of Appeals for the Eleventh Circuit</w:t>
      </w:r>
    </w:p>
    <w:p w:rsidR="00C30F6E" w:rsidRDefault="00C30F6E" w:rsidP="00C30F6E">
      <w:pPr>
        <w:widowControl w:val="0"/>
        <w:numPr>
          <w:ilvl w:val="0"/>
          <w:numId w:val="1"/>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U.S. District Court (Southern, Northern and Middle Districts of Florida)</w:t>
      </w:r>
    </w:p>
    <w:p w:rsidR="00C30F6E" w:rsidRDefault="00C30F6E" w:rsidP="00C30F6E">
      <w:pPr>
        <w:widowControl w:val="0"/>
        <w:autoSpaceDE w:val="0"/>
        <w:autoSpaceDN w:val="0"/>
        <w:adjustRightInd w:val="0"/>
        <w:rPr>
          <w:rFonts w:ascii="Times" w:hAnsi="Times" w:cs="Times"/>
          <w:sz w:val="36"/>
          <w:szCs w:val="36"/>
        </w:rPr>
      </w:pPr>
      <w:r>
        <w:rPr>
          <w:rFonts w:ascii="Times" w:hAnsi="Times" w:cs="Times"/>
          <w:sz w:val="36"/>
          <w:szCs w:val="36"/>
        </w:rPr>
        <w:t>Memberships and Activities:</w:t>
      </w:r>
    </w:p>
    <w:p w:rsidR="00C30F6E" w:rsidRDefault="00C30F6E" w:rsidP="00C30F6E">
      <w:pPr>
        <w:widowControl w:val="0"/>
        <w:numPr>
          <w:ilvl w:val="0"/>
          <w:numId w:val="2"/>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The Florida Bar</w:t>
      </w:r>
    </w:p>
    <w:p w:rsidR="00C30F6E" w:rsidRDefault="00C30F6E" w:rsidP="00C30F6E">
      <w:pPr>
        <w:widowControl w:val="0"/>
        <w:numPr>
          <w:ilvl w:val="0"/>
          <w:numId w:val="2"/>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Board Certified Admiralty and Maritime lawyer, The Florida Bar</w:t>
      </w:r>
    </w:p>
    <w:p w:rsidR="00C30F6E" w:rsidRDefault="00C30F6E" w:rsidP="00C30F6E">
      <w:pPr>
        <w:widowControl w:val="0"/>
        <w:numPr>
          <w:ilvl w:val="0"/>
          <w:numId w:val="2"/>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Past Chair, Florida Grievance Committee 11C</w:t>
      </w:r>
    </w:p>
    <w:p w:rsidR="00C30F6E" w:rsidRDefault="00C30F6E" w:rsidP="00C30F6E">
      <w:pPr>
        <w:widowControl w:val="0"/>
        <w:numPr>
          <w:ilvl w:val="0"/>
          <w:numId w:val="2"/>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Dade County Bar Association</w:t>
      </w:r>
    </w:p>
    <w:p w:rsidR="00C30F6E" w:rsidRDefault="00C30F6E" w:rsidP="00C30F6E">
      <w:pPr>
        <w:widowControl w:val="0"/>
        <w:autoSpaceDE w:val="0"/>
        <w:autoSpaceDN w:val="0"/>
        <w:adjustRightInd w:val="0"/>
        <w:rPr>
          <w:rFonts w:ascii="Times" w:hAnsi="Times" w:cs="Times"/>
          <w:sz w:val="36"/>
          <w:szCs w:val="36"/>
        </w:rPr>
      </w:pPr>
      <w:r>
        <w:rPr>
          <w:rFonts w:ascii="Times" w:hAnsi="Times" w:cs="Times"/>
          <w:sz w:val="36"/>
          <w:szCs w:val="36"/>
        </w:rPr>
        <w:t>Lecture and Publications:</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Co-Editor, “Crew Claims in the United States, 6th Edition”</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Co-Author, “Risk Shifting Agreements in Maritime Contracts”</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Speaker, “Management of Maintenance and Cure”, 2009</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lastRenderedPageBreak/>
        <w:t>Speaker, “Negotiations and Settlement”, 2010</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Speaker, “Crew Claims in the United States”, 2010</w:t>
      </w:r>
    </w:p>
    <w:p w:rsidR="00C30F6E" w:rsidRDefault="00C30F6E" w:rsidP="00C30F6E">
      <w:pPr>
        <w:widowControl w:val="0"/>
        <w:numPr>
          <w:ilvl w:val="0"/>
          <w:numId w:val="3"/>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Speaker, “Legal Ramifications of the Gulf Oil Spill”, 2010</w:t>
      </w:r>
    </w:p>
    <w:p w:rsidR="00C30F6E" w:rsidRDefault="00C30F6E" w:rsidP="00C30F6E">
      <w:pPr>
        <w:widowControl w:val="0"/>
        <w:autoSpaceDE w:val="0"/>
        <w:autoSpaceDN w:val="0"/>
        <w:adjustRightInd w:val="0"/>
        <w:rPr>
          <w:rFonts w:ascii="Times" w:hAnsi="Times" w:cs="Times"/>
          <w:sz w:val="36"/>
          <w:szCs w:val="36"/>
        </w:rPr>
      </w:pPr>
      <w:r>
        <w:rPr>
          <w:rFonts w:ascii="Times" w:hAnsi="Times" w:cs="Times"/>
          <w:sz w:val="36"/>
          <w:szCs w:val="36"/>
        </w:rPr>
        <w:t>Education</w:t>
      </w:r>
    </w:p>
    <w:p w:rsidR="00C30F6E" w:rsidRDefault="00C30F6E" w:rsidP="00C30F6E">
      <w:pPr>
        <w:widowControl w:val="0"/>
        <w:numPr>
          <w:ilvl w:val="0"/>
          <w:numId w:val="7"/>
        </w:numPr>
        <w:tabs>
          <w:tab w:val="left" w:pos="220"/>
          <w:tab w:val="left" w:pos="720"/>
        </w:tabs>
        <w:autoSpaceDE w:val="0"/>
        <w:autoSpaceDN w:val="0"/>
        <w:adjustRightInd w:val="0"/>
        <w:ind w:hanging="720"/>
        <w:rPr>
          <w:rFonts w:ascii="Times" w:hAnsi="Times" w:cs="Times"/>
          <w:color w:val="535353"/>
          <w:sz w:val="30"/>
          <w:szCs w:val="30"/>
        </w:rPr>
      </w:pPr>
      <w:r>
        <w:rPr>
          <w:rFonts w:ascii="Times" w:hAnsi="Times" w:cs="Times"/>
          <w:color w:val="535353"/>
          <w:sz w:val="30"/>
          <w:szCs w:val="30"/>
        </w:rPr>
        <w:t>Stetson University College of Law (J.D., 1999)</w:t>
      </w:r>
    </w:p>
    <w:p w:rsidR="00337FA3" w:rsidRPr="00707FC2" w:rsidRDefault="00C30F6E" w:rsidP="00C30F6E">
      <w:r>
        <w:rPr>
          <w:rFonts w:ascii="Times" w:hAnsi="Times" w:cs="Times"/>
          <w:color w:val="535353"/>
          <w:sz w:val="30"/>
          <w:szCs w:val="30"/>
        </w:rPr>
        <w:t>Florida State University (B.A., 1996</w:t>
      </w:r>
      <w:bookmarkStart w:id="0" w:name="_GoBack"/>
      <w:bookmarkEnd w:id="0"/>
    </w:p>
    <w:sectPr w:rsidR="00337FA3" w:rsidRPr="00707FC2" w:rsidSect="003079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19EAAB7C"/>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9A06A2"/>
    <w:multiLevelType w:val="hybridMultilevel"/>
    <w:tmpl w:val="35B6097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572FB"/>
    <w:multiLevelType w:val="hybridMultilevel"/>
    <w:tmpl w:val="AE384426"/>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414E4"/>
    <w:multiLevelType w:val="hybridMultilevel"/>
    <w:tmpl w:val="219C9FAC"/>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2"/>
    <w:rsid w:val="003079B4"/>
    <w:rsid w:val="00337FA3"/>
    <w:rsid w:val="00707FC2"/>
    <w:rsid w:val="008A1FF4"/>
    <w:rsid w:val="009347E0"/>
    <w:rsid w:val="00C3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4A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C2"/>
    <w:pPr>
      <w:ind w:left="720"/>
      <w:contextualSpacing/>
    </w:pPr>
  </w:style>
  <w:style w:type="paragraph" w:styleId="BalloonText">
    <w:name w:val="Balloon Text"/>
    <w:basedOn w:val="Normal"/>
    <w:link w:val="BalloonTextChar"/>
    <w:uiPriority w:val="99"/>
    <w:semiHidden/>
    <w:unhideWhenUsed/>
    <w:rsid w:val="00707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F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C2"/>
    <w:pPr>
      <w:ind w:left="720"/>
      <w:contextualSpacing/>
    </w:pPr>
  </w:style>
  <w:style w:type="paragraph" w:styleId="BalloonText">
    <w:name w:val="Balloon Text"/>
    <w:basedOn w:val="Normal"/>
    <w:link w:val="BalloonTextChar"/>
    <w:uiPriority w:val="99"/>
    <w:semiHidden/>
    <w:unhideWhenUsed/>
    <w:rsid w:val="00707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F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craven@ffleg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Friedman</dc:creator>
  <cp:keywords/>
  <dc:description/>
  <cp:lastModifiedBy>Kara Friedman</cp:lastModifiedBy>
  <cp:revision>2</cp:revision>
  <dcterms:created xsi:type="dcterms:W3CDTF">2015-04-22T14:27:00Z</dcterms:created>
  <dcterms:modified xsi:type="dcterms:W3CDTF">2015-04-22T14:27:00Z</dcterms:modified>
</cp:coreProperties>
</file>